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Affordable Care Act defined</w:t>
      </w:r>
    </w:p>
    <w:p>
      <w:pPr>
        <w:jc w:val="both"/>
        <w:spacing w:before="100" w:after="100"/>
        <w:ind w:start="360"/>
        <w:ind w:firstLine="360"/>
      </w:pPr>
      <w:r>
        <w:rPr/>
      </w:r>
      <w:r>
        <w:rPr/>
      </w:r>
      <w:r>
        <w:t xml:space="preserve">As used in this Title, "federal Affordable Care Act" means the federal Patient Protection and Affordable Care Act, Public Law 111-148, as amended by the federal Health Care and Education Reconciliation Act of 2010, Public Law 111-152, and any amendments to or regulations or guidance issued under those acts.</w:t>
      </w:r>
      <w:r>
        <w:t xml:space="preserve">  </w:t>
      </w:r>
      <w:r xmlns:wp="http://schemas.openxmlformats.org/drawingml/2010/wordprocessingDrawing" xmlns:w15="http://schemas.microsoft.com/office/word/2012/wordml">
        <w:rPr>
          <w:rFonts w:ascii="Arial" w:hAnsi="Arial" w:cs="Arial"/>
          <w:sz w:val="22"/>
          <w:szCs w:val="22"/>
        </w:rPr>
        <w:t xml:space="preserve">[PL 2011, c. 90,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D,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 Affordable Care Act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Affordable Care Act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 AFFORDABLE CARE ACT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