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1416</w:t>
        <w:t xml:space="preserve">.  </w:t>
      </w:r>
      <w:r>
        <w:rPr>
          <w:b/>
        </w:rPr>
        <w:t xml:space="preserve">Limited insurance licenses</w:t>
      </w:r>
    </w:p>
    <w:p>
      <w:pPr>
        <w:jc w:val="both"/>
        <w:spacing w:before="100" w:after="0"/>
        <w:ind w:start="360"/>
        <w:ind w:firstLine="360"/>
      </w:pPr>
      <w:r>
        <w:rPr>
          <w:b/>
        </w:rPr>
        <w:t>1</w:t>
        <w:t xml:space="preserve">.  </w:t>
      </w:r>
      <w:r>
        <w:rPr>
          <w:b/>
        </w:rPr>
        <w:t xml:space="preserve">Limited license.</w:t>
        <w:t xml:space="preserve"> </w:t>
      </w:r>
      <w:r>
        <w:t xml:space="preserve"> </w:t>
      </w:r>
      <w:r>
        <w:t xml:space="preserve">The superintendent may issue to an applicant qualified under this chapter a limited insurance producer license, in the areas of authority listed as such in </w:t>
      </w:r>
      <w:r>
        <w:t>section 1420‑F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§17 (AMD).]</w:t>
      </w:r>
    </w:p>
    <w:p>
      <w:pPr>
        <w:jc w:val="both"/>
        <w:spacing w:before="100" w:after="0"/>
        <w:ind w:start="360"/>
        <w:ind w:firstLine="360"/>
      </w:pPr>
      <w:r>
        <w:rPr>
          <w:b/>
        </w:rPr>
        <w:t>2</w:t>
        <w:t xml:space="preserve">.  </w:t>
      </w:r>
      <w:r>
        <w:rPr>
          <w:b/>
        </w:rPr>
        <w:t xml:space="preserve">Fee.</w:t>
        <w:t xml:space="preserve"> </w:t>
      </w:r>
      <w:r>
        <w:t xml:space="preserve"> </w:t>
      </w:r>
      <w:r>
        <w:t xml:space="preserve">The fee for a limited insurance producer license is specified in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§1416. Limited insurance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§1416. Limited insurance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§1416. LIMITED INSURANCE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