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1475</w:t>
        <w:t xml:space="preserve">.  </w:t>
      </w:r>
      <w:r>
        <w:rPr>
          <w:b/>
        </w:rPr>
        <w:t xml:space="preserve">Catastrophe investigations and adjustments</w:t>
      </w:r>
    </w:p>
    <w:p>
      <w:pPr>
        <w:jc w:val="both"/>
        <w:spacing w:before="100" w:after="100"/>
        <w:ind w:start="360"/>
        <w:ind w:firstLine="360"/>
      </w:pPr>
      <w:r>
        <w:rPr/>
      </w:r>
      <w:r>
        <w:rPr/>
      </w:r>
      <w:r>
        <w:t xml:space="preserve">An adjuster license is not required for an adjuster sent into this State on behalf of an authorized insurer or fraternal benefit society for the investigation or adjustment of a particularly unusual or extraordinary loss or of a series of losses resulting from a catastrophe common to all such losses.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§1475. Catastrophe investigations and adjustments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§1475. Catastrophe investigations and adjustments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§1475. CATASTROPHE INVESTIGATIONS AND ADJUSTMENTS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