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Surplus lines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§2012. SURPLUS LINES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