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Staff</w:t>
      </w:r>
    </w:p>
    <w:p>
      <w:pPr>
        <w:jc w:val="both"/>
        <w:spacing w:before="100" w:after="100"/>
        <w:ind w:start="360"/>
        <w:ind w:firstLine="360"/>
      </w:pPr>
      <w:r>
        <w:rPr/>
      </w:r>
      <w:r>
        <w:rPr/>
      </w:r>
      <w:r>
        <w:t xml:space="preserve">The superintendent may employ personnel as the business of the bureau may require, subject to the Commissioner of Professional and Financial Regulation's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785, §B107 (AMD). PL 1995, c. 502, §H17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§207.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