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Insurer's ownership of funeral establishment or cemetery prohibited</w:t>
      </w:r>
    </w:p>
    <w:p>
      <w:pPr>
        <w:jc w:val="both"/>
        <w:spacing w:before="100" w:after="100"/>
        <w:ind w:start="360"/>
        <w:ind w:firstLine="360"/>
      </w:pPr>
      <w:r>
        <w:rPr/>
      </w:r>
      <w:r>
        <w:rPr/>
      </w:r>
      <w:r>
        <w:t xml:space="preserve">No insurer may own or manage or supervise or operate or maintain a mortuary establishment , a funeral establishment, a cemetery, a cemetery corporation or association, a crematorium, a mausoleum or a columbarium.</w:t>
      </w:r>
      <w:r>
        <w:t xml:space="preserve">  </w:t>
      </w:r>
      <w:r xmlns:wp="http://schemas.openxmlformats.org/drawingml/2010/wordprocessingDrawing" xmlns:w15="http://schemas.microsoft.com/office/word/2012/wordml">
        <w:rPr>
          <w:rFonts w:ascii="Arial" w:hAnsi="Arial" w:cs="Arial"/>
          <w:sz w:val="22"/>
          <w:szCs w:val="22"/>
        </w:rPr>
        <w:t xml:space="preserve">[PL 1989, c. 206,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§2175. Insurer's ownership of funeral establishment or cemetery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Insurer's ownership of funeral establishment or cemetery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§2175. INSURER'S OWNERSHIP OF FUNERAL ESTABLISHMENT OR CEMETERY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