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Publications; price</w:t>
      </w:r>
    </w:p>
    <w:p>
      <w:pPr>
        <w:jc w:val="both"/>
        <w:spacing w:before="100" w:after="100"/>
        <w:ind w:start="360"/>
        <w:ind w:firstLine="360"/>
      </w:pPr>
      <w:r>
        <w:rPr/>
      </w:r>
      <w:r>
        <w:rPr/>
      </w:r>
      <w:r>
        <w:t xml:space="preserve">The superintendent may have the directory of authorized insurers, of licensed insurance representatives, license examination material, insurance laws and related laws and regulations under the superintendent's administration published in pamphlet form from time to time, and may fix a price for each copy to cover cost of printing and mailing.</w:t>
      </w:r>
      <w:r>
        <w:t xml:space="preserve">  </w:t>
      </w:r>
      <w:r xmlns:wp="http://schemas.openxmlformats.org/drawingml/2010/wordprocessingDrawing" xmlns:w15="http://schemas.microsoft.com/office/word/2012/wordml">
        <w:rPr>
          <w:rFonts w:ascii="Arial" w:hAnsi="Arial" w:cs="Arial"/>
          <w:sz w:val="22"/>
          <w:szCs w:val="22"/>
        </w:rPr>
        <w:t xml:space="preserve">[RR 2021, c. 1, Pt. B, §163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 Publications;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Publications;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 PUBLICATIONS;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