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Scope</w:t>
      </w:r>
    </w:p>
    <w:p>
      <w:pPr>
        <w:jc w:val="both"/>
        <w:spacing w:before="100" w:after="0"/>
        <w:ind w:start="360"/>
        <w:ind w:firstLine="360"/>
      </w:pPr>
      <w:r>
        <w:rPr>
          <w:b/>
        </w:rPr>
        <w:t>1</w:t>
        <w:t xml:space="preserve">.  </w:t>
      </w:r>
      <w:r>
        <w:rPr>
          <w:b/>
        </w:rPr>
        <w:t xml:space="preserve">Scope.</w:t>
        <w:t xml:space="preserve"> </w:t>
      </w:r>
      <w:r>
        <w:t xml:space="preserve"> </w:t>
      </w:r>
      <w:r>
        <w:t xml:space="preserve">This chapter applies to all persons and other entities  required to be licensed by the superintendent under this Title, or </w:t>
      </w:r>
      <w:r>
        <w:t>Title 24</w:t>
      </w:r>
      <w:r>
        <w:t xml:space="preserve">, and to all insurance support organizations, as defined in </w:t>
      </w:r>
      <w:r>
        <w:t>section 2204</w:t>
      </w:r>
      <w:r>
        <w:t xml:space="preserve">, that collect, maintain or distribute information on residents of this State or arising out of insurance transactions in this State.  With respect to particular insurance transactions, this chapter applies if the transaction arises out of a policy, contract or certificate delivered, issued for delivery or renewed in this State or arises out of an application for such coverage.  With respect to information practices, this chapter applies if information is collected or maintained in connection with an insurance transaction subject to this chapter or if personal information about residents of this State is collected or maintained in such a manner as to be accessible by the name of the  insurance consumer referred 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2</w:t>
        <w:t xml:space="preserve">.  </w:t>
      </w:r>
      <w:r>
        <w:rPr>
          <w:b/>
        </w:rPr>
        <w:t xml:space="preserve">Residents.</w:t>
        <w:t xml:space="preserve"> </w:t>
      </w:r>
      <w:r>
        <w:t xml:space="preserve"> </w:t>
      </w:r>
      <w:r>
        <w:t xml:space="preserve">For purposes of this chapter, a person is considered a resident of this State if the person's last known mailing address, as shown in the records of the regulated insurance entity or insurance support organization, is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Exception.</w:t>
        <w:t xml:space="preserve"> </w:t>
      </w:r>
      <w:r>
        <w:t xml:space="preserve"> </w:t>
      </w:r>
      <w:r>
        <w:t xml:space="preserve">Except to the extent expressly provided in rules adopted by the superintendent pursuant to </w:t>
      </w:r>
      <w:r>
        <w:t>section 2220</w:t>
      </w:r>
      <w:r>
        <w:t xml:space="preserve">, this chapter does not apply to insurance transactions arising out of workers' compensation, medical malpractice, fidelity, suretyship or boiler and machinery insurance or information collected from public records for the purpose of title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2001, c. 262, §C2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§2203.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§2203.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