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Pretext interviews</w:t>
      </w:r>
    </w:p>
    <w:p>
      <w:pPr>
        <w:jc w:val="both"/>
        <w:spacing w:before="100" w:after="100"/>
        <w:ind w:start="360"/>
        <w:ind w:firstLine="360"/>
      </w:pPr>
      <w:r>
        <w:rPr/>
      </w:r>
      <w:r>
        <w:rPr/>
      </w:r>
      <w:r>
        <w:t xml:space="preserve">A regulated insurance entity or insurance support organization may not use or authorize the use of pretext interviews to obtain information in connection with an insurance transaction unless that entity or organization does not have a generally or statutorily recognized privileged relationship with the insurance consumer about whom the information is related, the interview is conducted for the purpose of investigating a claim and there is a reasonable basis, supported by specific information available for review by the superintendent, for suspecting criminal activity, fraud, material misrepresentation or material nondisclosure.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§2205. Pretext interviews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Pretext interviews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§2205. PRETEXT INTERVIEWS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