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Access to recorded personal information</w:t>
      </w:r>
    </w:p>
    <w:p>
      <w:pPr>
        <w:jc w:val="both"/>
        <w:spacing w:before="100" w:after="100"/>
        <w:ind w:start="360"/>
        <w:ind w:firstLine="360"/>
      </w:pPr>
      <w:r>
        <w:rPr>
          <w:b/>
        </w:rPr>
        <w:t>1</w:t>
        <w:t xml:space="preserve">.  </w:t>
      </w:r>
      <w:r>
        <w:rPr>
          <w:b/>
        </w:rPr>
        <w:t xml:space="preserve">Recorded personal information.</w:t>
        <w:t xml:space="preserve"> </w:t>
      </w:r>
      <w:r>
        <w:t xml:space="preserve"> </w:t>
      </w:r>
      <w:r>
        <w:t xml:space="preserve">If any insurance consumer, after proper identification, submits a written request to a regulated insurance entity or insurance support organization for access to recorded personal information about the consumer that is reasonably described by the consumer and reasonably locatable and retrievable by the regulated insurance entity or insurance support organization, the regulated insurance entity or insurance support organization shall, within 30 days after the date the request is received:</w:t>
      </w:r>
    </w:p>
    <w:p>
      <w:pPr>
        <w:jc w:val="both"/>
        <w:spacing w:before="100" w:after="0"/>
        <w:ind w:start="720"/>
      </w:pPr>
      <w:r>
        <w:rPr/>
        <w:t>A</w:t>
        <w:t xml:space="preserve">.  </w:t>
      </w:r>
      <w:r>
        <w:rPr/>
      </w:r>
      <w:r>
        <w:t xml:space="preserve">Inform the consumer of the nature and substance of the recorded personal information in writing or by telephone or other oral communication;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Permit the consumer to see and copy, in person, the recorded personal information or to obtain a copy of the recorded personal information by mail, whichever method the consumer prefers, unless the recorded personal information is in coded form, in which case an accurate translation in plain language must be provided in writing;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Disclose to the consumer the identity, if recorded, of those persons to whom the regulated insurance entity or insurance support organization has disclosed the information described or similar personal information about the consumer during the 2 years preceding the request and, if the identity is not recorded, the names of those carriers, producers, agencies, insurance support organizations or other persons to whom any such information is normally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Provide the consumer with a summary of the procedures by which the consumer may request correction, amendment or deletion of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 considered consumer.</w:t>
        <w:t xml:space="preserve"> </w:t>
      </w:r>
      <w:r>
        <w:t xml:space="preserve"> </w:t>
      </w:r>
      <w:r>
        <w:t xml:space="preserve">For purposes of this section and </w:t>
      </w:r>
      <w:r>
        <w:t>section 2211</w:t>
      </w:r>
      <w:r>
        <w:t xml:space="preserve">, as applied to insurance support organizations, any resident of this State is considered an insurance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Institutional source.</w:t>
        <w:t xml:space="preserve"> </w:t>
      </w:r>
      <w:r>
        <w:t xml:space="preserve"> </w:t>
      </w:r>
      <w:r>
        <w:t xml:space="preserve">Any personal information provided pursuant to </w:t>
      </w:r>
      <w:r>
        <w:t>subsection 1</w:t>
      </w:r>
      <w:r>
        <w:t xml:space="preserve"> must identify the source of the information if it is an institutional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Election relating to health care information.</w:t>
        <w:t xml:space="preserve"> </w:t>
      </w:r>
      <w:r>
        <w:t xml:space="preserve"> </w:t>
      </w:r>
      <w:r>
        <w:t xml:space="preserve">In lieu of disclosure directly to the consumer, the carrier or producer may elect to disclose health care information, together with the identity of the health care provider who provided the information, to a person designated by the consumer who is licensed to provide health care with respect to the condition to which the information relates.  The regulated insurance entity or insurance support organization shall notify the consumer at the time of the disclosure that it has provided the information to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Fee.</w:t>
        <w:t xml:space="preserve"> </w:t>
      </w:r>
      <w:r>
        <w:t xml:space="preserve"> </w:t>
      </w:r>
      <w:r>
        <w:t xml:space="preserve">Except for personal information provided under </w:t>
      </w:r>
      <w:r>
        <w:t>section 2212</w:t>
      </w:r>
      <w:r>
        <w:t xml:space="preserve">, a regulated insurance entity or insurance support organization may charge a reasonable fee to cover the costs incurred in providing a copy of recorded personal information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Satisfaction by other carrier, producer or administrator.</w:t>
        <w:t xml:space="preserve"> </w:t>
      </w:r>
      <w:r>
        <w:t xml:space="preserve"> </w:t>
      </w:r>
      <w:r>
        <w:t xml:space="preserve">The obligations imposed by this section upon a regulated insurance entity may be satisfied by another  carrier, producer or administrator authorized to act on its behalf.  With respect to the copying and disclosure of recorded personal information pursuant to a request under </w:t>
      </w:r>
      <w:r>
        <w:t>subsection 1</w:t>
      </w:r>
      <w:r>
        <w:t xml:space="preserve">, a regulated insurance entity or insurance support organization may make arrangements with an insurance support organization or a consumer reporting agency to copy and disclose recorded personal information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Confidential investigative information.</w:t>
        <w:t xml:space="preserve"> </w:t>
      </w:r>
      <w:r>
        <w:t xml:space="preserve"> </w:t>
      </w:r>
      <w:r>
        <w:t xml:space="preserve">Confidential investigative information and personal information in which a 3rd person has a nondisclosure right pursuant to </w:t>
      </w:r>
      <w:r>
        <w:t>section 2215</w:t>
      </w:r>
      <w:r>
        <w:t xml:space="preserve">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§2210. Access to recorded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Access to recorded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§2210. ACCESS TO RECORDED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