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Previous adverse underwriting decisions</w:t>
      </w:r>
    </w:p>
    <w:p>
      <w:pPr>
        <w:jc w:val="both"/>
        <w:spacing w:before="100" w:after="100"/>
        <w:ind w:start="360"/>
        <w:ind w:firstLine="360"/>
      </w:pPr>
      <w:r>
        <w:rPr/>
      </w:r>
      <w:r>
        <w:rPr/>
      </w:r>
      <w:r>
        <w:t xml:space="preserve">A carrier, producer or producer agency may not base an adverse underwriting decision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ind w:firstLine="360"/>
      </w:pPr>
      <w:r>
        <w:rPr>
          <w:b/>
        </w:rPr>
        <w:t>1</w:t>
        <w:t xml:space="preserve">.  </w:t>
      </w:r>
      <w:r>
        <w:rPr>
          <w:b/>
        </w:rPr>
        <w:t xml:space="preserve">Previous adverse underwriting decisions.</w:t>
        <w:t xml:space="preserve"> </w:t>
      </w:r>
      <w:r>
        <w:t xml:space="preserve"> </w:t>
      </w:r>
      <w:r>
        <w:t xml:space="preserve">On the fact of a previous adverse underwriting decision or on the fact that a consumer previously obtained insurance coverage through a residual market, a surplus lines insurer or a carrier that specializes in substandard risks.  However, a carrier or producer may base an adverse underwriting decision on further information obtained from a carrier, producer or producer agency responsible for a previous adverse underwriting decision;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Information from insurance support organizations.</w:t>
        <w:t xml:space="preserve"> </w:t>
      </w:r>
      <w:r>
        <w:t xml:space="preserve"> </w:t>
      </w:r>
      <w:r>
        <w:t xml:space="preserve">On personal information received from an insurance support organization whose primary source of information is insurance carriers.  However, a carrier or producer may base an adverse underwriting decision on further personal information obtained as a result of information received from  the insurance support organization, including primary source information confirming the information received from the insurance support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§2214. Previous adverse underwriting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Previous adverse underwriting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§2214. PREVIOUS ADVERSE UNDERWRITING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