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2246</w:t>
        <w:t xml:space="preserve">.  </w:t>
      </w:r>
      <w:r>
        <w:rPr>
          <w:b/>
        </w:rPr>
        <w:t xml:space="preserve">Construction</w:t>
      </w:r>
    </w:p>
    <w:p>
      <w:pPr>
        <w:jc w:val="both"/>
        <w:spacing w:before="100" w:after="100"/>
        <w:ind w:start="360"/>
        <w:ind w:firstLine="360"/>
      </w:pPr>
      <w:r>
        <w:rPr/>
      </w:r>
      <w:r>
        <w:rPr/>
      </w:r>
      <w:r>
        <w:t xml:space="preserve">Nothing contained in this chapter may be construed to authorize a transfer of structured settlement payment rights in contravention of applicable law or to give effect to a transfer of structured settlement payment rights that is invalid under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§2246.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§2246.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§2246.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