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Powers of the superintendent</w:t>
      </w:r>
    </w:p>
    <w:p>
      <w:pPr>
        <w:jc w:val="both"/>
        <w:spacing w:before="100" w:after="100"/>
        <w:ind w:start="360"/>
        <w:ind w:firstLine="360"/>
      </w:pPr>
      <w:r>
        <w:rPr/>
      </w:r>
      <w:r>
        <w:rPr/>
      </w:r>
      <w:r>
        <w:t xml:space="preserve">The superintendent may authorize a lower score than the Flesch reading ease score required in </w:t>
      </w:r>
      <w:r>
        <w:t>section 2441, subsection 1, paragraph A</w:t>
      </w:r>
      <w:r>
        <w:t xml:space="preserve">, whenever, in the superintendent's sole discretion, the superintendent finds that a lower score will provide a more accurate reflection of the readability of a policy form, or is warranted by the nature of a particular policy form or type or class of policy forms, or is caused by certain policy language that is drafted to conform to the requirements of any state law, regulation or agency interpretation.</w:t>
      </w:r>
      <w:r>
        <w:t xml:space="preserve">  </w:t>
      </w:r>
      <w:r xmlns:wp="http://schemas.openxmlformats.org/drawingml/2010/wordprocessingDrawing" xmlns:w15="http://schemas.microsoft.com/office/word/2012/wordml">
        <w:rPr>
          <w:rFonts w:ascii="Arial" w:hAnsi="Arial" w:cs="Arial"/>
          <w:sz w:val="22"/>
          <w:szCs w:val="22"/>
        </w:rPr>
        <w:t xml:space="preserve">[RR 2021, c. 1,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§2443.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§2443.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