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2527</w:t>
        <w:t xml:space="preserve">.  </w:t>
      </w:r>
      <w:r>
        <w:rPr>
          <w:b/>
        </w:rPr>
        <w:t xml:space="preserve">Provisions required by law of other jurisdiction</w:t>
      </w:r>
    </w:p>
    <w:p>
      <w:pPr>
        <w:jc w:val="both"/>
        <w:spacing w:before="100" w:after="100"/>
        <w:ind w:start="360"/>
        <w:ind w:firstLine="360"/>
      </w:pPr>
      <w:r>
        <w:rPr/>
      </w:r>
      <w:r>
        <w:rPr/>
      </w:r>
      <w:r>
        <w:t xml:space="preserve">The policies of a foreign life insurer may contain any provision which the law of the state, territory, district, or country under which the insurer is organized prescribes shall be in such policies when issued in this State, and the policies of a domestic life insurer may, when issued or delivered in any other state, territory, district, or country, contain any provisions required by the laws thereof, anything in this chapter to the contrary notwithstanding.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§2527. Provisions required by law of 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§2527. Provisions required by law of 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§2527. PROVISIONS REQUIRED BY LAW OF 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