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Applicability</w:t>
      </w:r>
    </w:p>
    <w:p>
      <w:pPr>
        <w:jc w:val="both"/>
        <w:spacing w:before="100" w:after="100"/>
        <w:ind w:start="360"/>
        <w:ind w:firstLine="360"/>
      </w:pPr>
      <w:r>
        <w:rPr/>
      </w:r>
      <w:r>
        <w:rPr/>
      </w:r>
      <w:r>
        <w:t>Sections 2541</w:t>
      </w:r>
      <w:r>
        <w:t xml:space="preserve"> to </w:t>
      </w:r>
      <w:r>
        <w:t>2551</w:t>
      </w:r>
      <w:r>
        <w:t xml:space="preserve"> shall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 premium deposit fund, variable annuity, investment annuity, immediate annuity, any deferred annuity contract after annuity payments have commenced, or reversionary annuity, nor to any contract which shall be delivered outside this State through an agent or other representative of the company issuing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