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w:t>
        <w:t xml:space="preserve">.  </w:t>
      </w:r>
      <w:r>
        <w:rPr>
          <w:b/>
        </w:rPr>
        <w:t xml:space="preserve">Applicability to existing policies</w:t>
      </w:r>
    </w:p>
    <w:p>
      <w:pPr>
        <w:jc w:val="both"/>
        <w:spacing w:before="100" w:after="100"/>
        <w:ind w:start="360"/>
        <w:ind w:firstLine="360"/>
      </w:pPr>
      <w:r>
        <w:rPr/>
      </w:r>
      <w:r>
        <w:rPr/>
      </w:r>
      <w:r>
        <w:t xml:space="preserve">The provisions of </w:t>
      </w:r>
      <w:r>
        <w:t>sections 2552</w:t>
      </w:r>
      <w:r>
        <w:t xml:space="preserve"> and </w:t>
      </w:r>
      <w:r>
        <w:t>2553</w:t>
      </w:r>
      <w:r>
        <w:t xml:space="preserve"> shall not impair any insurance contract issued before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§2554. Applicability to existing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 Applicability to existing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§2554. APPLICABILITY TO EXISTING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