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2607-A</w:t>
        <w:t xml:space="preserve">.  </w:t>
      </w:r>
      <w:r>
        <w:rPr>
          <w:b/>
        </w:rPr>
        <w:t xml:space="preserve">Association groups</w:t>
      </w:r>
    </w:p>
    <w:p>
      <w:pPr>
        <w:jc w:val="both"/>
        <w:spacing w:before="100" w:after="100"/>
        <w:ind w:start="360"/>
        <w:ind w:firstLine="360"/>
      </w:pPr>
      <w:r>
        <w:rPr/>
      </w:r>
      <w:r>
        <w:rPr/>
      </w:r>
      <w:r>
        <w:t xml:space="preserve">The lives of a group of individuals may be insured under a policy issued to an association or to a trust or to the trustee or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§9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§2607-A.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§2607-A.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§2607-A.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