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Scope, format of policy</w:t>
      </w:r>
    </w:p>
    <w:p>
      <w:pPr>
        <w:jc w:val="both"/>
        <w:spacing w:before="100" w:after="100"/>
        <w:ind w:start="360"/>
        <w:ind w:firstLine="360"/>
      </w:pPr>
      <w:r>
        <w:rPr/>
      </w:r>
      <w:r>
        <w:rPr/>
      </w:r>
      <w:r>
        <w:t xml:space="preserve">No policy of health insurance shall be delivered or issued for delivery to any person in this State unless it otherwise complies with this Title, and complies with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entire money and other considerations therefore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time when the insurance takes effect and terminates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subcaptions;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exceptions and reductions of indemnity shall be set forth in the policy and, other than those contained in </w:t>
      </w:r>
      <w:r>
        <w:t>sections 2705</w:t>
      </w:r>
      <w:r>
        <w:t xml:space="preserve"> to </w:t>
      </w:r>
      <w:r>
        <w:t>2729</w:t>
      </w:r>
      <w:r>
        <w:t xml:space="preserve">,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Each such form, including riders and endorsements, shall be identified by a form number in the lower left-hand corner of the first page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Scope, format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Scope, format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§2703. SCOPE, FORMAT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