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Time limit on certain defenses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Time limit on certain defenses: (a)  After 3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3-year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foregoing policy provision shall not be so construed as to affect any legal requirement for avoidance of a policy or denial of a claim during such initial 3-year period, nor to limit the application of </w:t>
      </w:r>
      <w:r>
        <w:t>sections 2717</w:t>
      </w:r>
      <w:r>
        <w:t xml:space="preserve"> through </w:t>
      </w:r>
      <w:r>
        <w:t>2723</w:t>
      </w:r>
      <w:r>
        <w:t xml:space="preserve"> in the event of misstatement with respect to age or occupation or other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which the insured has the right to continue in force subject to its terms by the timely payment of premium 1 until at least age 50 or, 2 in the case of a policy issued after age 44, for at least 5 years from its date of issue, may contain in lieu of the foregoing the following provision, from which the clause in parentheses may be omitted at the insurer's option, under the caption "Incontestable:"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After this policy has been in force for a period of 3 years during the lifetime of the insured (excluding any period during which the insured is disabled), it shall become incontestable as to the statements contained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(b)  No claim for loss incurred or disability, as defined in the policy, commencing after 3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Time limit on certain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Time limit on certain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§2706. TIME LIMIT ON CERTAIN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