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Payment of claims</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company, be paid either to such beneficiary or to such estate. All other indemnities will be payable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following provisions, or either of them, may be included with the foregoing provision at the option of the insurer:</w:t>
      </w:r>
    </w:p>
    <w:p>
      <w:pPr>
        <w:jc w:val="both"/>
        <w:spacing w:before="100" w:after="0"/>
        <w:ind w:start="720"/>
      </w:pPr>
      <w:r>
        <w:rPr/>
        <w:t>A</w:t>
        <w:t xml:space="preserve">.  </w:t>
      </w:r>
      <w:r>
        <w:rPr/>
      </w:r>
      <w:r>
        <w:t xml:space="preserve">"If any indemnity of this policy shall be payable to the estate of the insured, or to an insured or beneficiary who is a minor or otherwise not competent to give a valid release, the insurer may pay such indemnity, up to an amount not exceeding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  Nothing in this provision prohibits an insurer from providing an incentive for insureds to use the services of a particular provider.</w:t>
      </w:r>
      <w:r>
        <w:t xml:space="preserve">  </w:t>
      </w:r>
      <w:r xmlns:wp="http://schemas.openxmlformats.org/drawingml/2010/wordprocessingDrawing" xmlns:w15="http://schemas.microsoft.com/office/word/2012/wordml">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§2713.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§2713.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