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§2792. Affordable health coverage for individuals, families and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§2792. AFFORDABLE HEALTH COVERAGE FOR INDIVIDUALS, FAMILIES AND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