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2834-C</w:t>
        <w:t xml:space="preserve">.  </w:t>
      </w:r>
      <w:r>
        <w:rPr>
          <w:b/>
        </w:rPr>
        <w:t xml:space="preserve">Compliance with federal law</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accidental injury,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w:pPr>
        <w:jc w:val="both"/>
        <w:spacing w:before="100" w:after="0"/>
        <w:ind w:start="360"/>
        <w:ind w:firstLine="360"/>
      </w:pPr>
      <w:r>
        <w:rPr>
          <w:b/>
        </w:rPr>
        <w:t>2</w:t>
        <w:t xml:space="preserve">.  </w:t>
      </w:r>
      <w:r>
        <w:rPr>
          <w:b/>
        </w:rPr>
        <w:t xml:space="preserve">Requirement.</w:t>
        <w:t xml:space="preserve"> </w:t>
      </w:r>
      <w:r>
        <w:t xml:space="preserve"> </w:t>
      </w:r>
      <w:r>
        <w:t xml:space="preserve">Policies subject to this section must comply with the federal Children's Health Insurance Program Reauthorization Act of 2009, Section 311 concerning special enrollment periods in case of termination of coverage under a Medicaid plan or a state child health plan or eligibility for assistance in the purchase of employment-based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§2834-C.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§2834-C.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§2834-C.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