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w:t>
        <w:t xml:space="preserve">.  </w:t>
      </w:r>
      <w:r>
        <w:rPr>
          <w:b/>
        </w:rPr>
        <w:t xml:space="preserve">Newborn children coverage</w:t>
      </w:r>
    </w:p>
    <w:p>
      <w:pPr>
        <w:jc w:val="both"/>
        <w:spacing w:before="100" w:after="100"/>
        <w:ind w:start="360"/>
        <w:ind w:firstLine="360"/>
      </w:pPr>
      <w:r>
        <w:rPr/>
      </w:r>
      <w:r>
        <w:rPr/>
      </w:r>
      <w:r>
        <w:t xml:space="preserve">All group and blanket health insurance policies and certificates providing coverage on an expense-incurred basis must provide that health insurance benefits are payable for a newly born child of the insured or subscriber from the moment of birth. An adopted child is deemed to be newly born to the adoptive parents from the date of the signed placement agreement.  Preexisting conditions of an adopted child may not be excluded from coverage.</w:t>
      </w:r>
      <w:r>
        <w:t xml:space="preserve">  </w:t>
      </w:r>
      <w:r xmlns:wp="http://schemas.openxmlformats.org/drawingml/2010/wordprocessingDrawing" xmlns:w15="http://schemas.microsoft.com/office/word/2012/wordml">
        <w:rPr>
          <w:rFonts w:ascii="Arial" w:hAnsi="Arial" w:cs="Arial"/>
          <w:sz w:val="22"/>
          <w:szCs w:val="22"/>
        </w:rPr>
        <w:t xml:space="preserve">[PL 2003, c. 517, Pt. A, §5 (AMD); PL 2003, c. 517, Pt. A, §13 (AFF).]</w:t>
      </w:r>
    </w:p>
    <w:p>
      <w:pPr>
        <w:jc w:val="both"/>
        <w:spacing w:before="100" w:after="100"/>
        <w:ind w:start="360"/>
        <w:ind w:firstLine="360"/>
      </w:pPr>
      <w:r>
        <w:rPr/>
      </w:r>
      <w:r>
        <w:rPr/>
      </w:r>
      <w:r>
        <w:t xml:space="preserve">The coverage for newly born children must consist of coverage of injury or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2834‑A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The requirements of this section apply to all policies and certificates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2003, c. 517, Pt. A, §6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1993, c. 686, §12 (AMD). PL 1993, c. 686, §13 (AFF). PL 1995, c. 332, §N3 (AMD). PL 1997, c. 604, §C3 (AMD). PL 2003, c. 517, §§A5,6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§2834.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