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2839-B</w:t>
        <w:t xml:space="preserve">.  </w:t>
      </w:r>
      <w:r>
        <w:rPr>
          <w:b/>
        </w:rPr>
        <w:t xml:space="preserve">Large group rates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group health insurance offered in the large group market as defined in </w:t>
      </w:r>
      <w:r>
        <w:t>section 2850‑B</w:t>
      </w:r>
      <w:r>
        <w:t xml:space="preserve">, except insurance covering only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w:pPr>
        <w:jc w:val="both"/>
        <w:spacing w:before="100" w:after="0"/>
        <w:ind w:start="360"/>
        <w:ind w:firstLine="360"/>
      </w:pPr>
      <w:r>
        <w:rPr>
          <w:b/>
        </w:rPr>
        <w:t>2</w:t>
        <w:t xml:space="preserve">.  </w:t>
      </w:r>
      <w:r>
        <w:rPr>
          <w:b/>
        </w:rPr>
        <w:t xml:space="preserve">Annual filing.</w:t>
        <w:t xml:space="preserve"> </w:t>
      </w:r>
      <w:r>
        <w:t xml:space="preserve"> </w:t>
      </w:r>
      <w:r>
        <w:t xml:space="preserve">Every carrier offering group health insurance specified in subsection 1 shall annually file with the superintendent on or before April 30th a certification signed by a member in good standing of the American Academy of Actuaries or a successor organization that the carrier's rating methods and practices are in accordance with generally accepted actuarial principles and with the applicable actuarial standards of practice as promulgated by an actuarial standards board. The filing also must state the number of policyholders, certificate holders and dependents, as of the close of the preceding calendar year, enrolled in large group health insurance plans offered by the carrier. A filing and supporting information are public records except as provided by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§8 (AMD).]</w:t>
      </w:r>
    </w:p>
    <w:p>
      <w:pPr>
        <w:jc w:val="both"/>
        <w:spacing w:before="100" w:after="0"/>
        <w:ind w:start="360"/>
        <w:ind w:firstLine="360"/>
      </w:pPr>
      <w:r>
        <w:rPr>
          <w:b/>
        </w:rPr>
        <w:t>3</w:t>
        <w:t xml:space="preserve">.  </w:t>
      </w:r>
      <w:r>
        <w:rPr>
          <w:b/>
        </w:rPr>
        <w:t xml:space="preserve">Documentation.</w:t>
        <w:t xml:space="preserve"> </w:t>
      </w:r>
      <w:r>
        <w:t xml:space="preserve"> </w:t>
      </w:r>
      <w:r>
        <w:t xml:space="preserve">Every carrier shall maintain at its principal place of business a complete and detailed description of its rating practices, including information and documentation that demonstrates that its rating methods and practices are in accordance with generally accepted actuarial principles and with the applicable actuarial standards of practice as promulgated by an actuarial standards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§E17 (NEW). PL 2007, c. 629, Pt. M, §11 (AMD). PL 2023, c. 59,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§2839-B. Large group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§2839-B. Large group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§2839-B. LARGE GROUP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