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When not applicable</w:t>
      </w:r>
    </w:p>
    <w:p>
      <w:pPr>
        <w:jc w:val="both"/>
        <w:spacing w:before="100" w:after="100"/>
        <w:ind w:start="360"/>
        <w:ind w:firstLine="360"/>
      </w:pPr>
      <w:r>
        <w:rPr/>
      </w:r>
      <w:r>
        <w:rPr/>
      </w:r>
      <w:r>
        <w:t xml:space="preserve">This subchapter shall not apply to any policy:</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r>
      <w:r>
        <w:t xml:space="preserve"> </w:t>
      </w:r>
      <w:r>
        <w:t xml:space="preserve">Insured under an automobile assigned risk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Covering garage, automobile sales agency, repair shop, service station or public parking place operation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Insuring more than 4 automobiles;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Issued principally to cover personal or premises liability of an insured even though such insurance may also provide some incidental coverage for liability arising out of the ownership, maintenance or use of a motor vehicle on the premises of such insured or on the ways immediately adjoining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§2913. When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When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§2913. WHEN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