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Combination coverages</w:t>
      </w:r>
    </w:p>
    <w:p>
      <w:pPr>
        <w:jc w:val="both"/>
        <w:spacing w:before="100" w:after="100"/>
        <w:ind w:start="360"/>
        <w:ind w:firstLine="360"/>
      </w:pPr>
      <w:r>
        <w:rPr/>
      </w:r>
      <w:r>
        <w:rPr/>
      </w:r>
      <w:r>
        <w:t xml:space="preserve">Any policy or contract otherwise subject to </w:t>
      </w:r>
      <w:r>
        <w:t>section 3002</w:t>
      </w:r>
      <w:r>
        <w:t xml:space="preserve"> (standard fire policy required; exceptions), which includes either on an unspecified basis as to the coverage or for a single premium coverage against the peril of fire and substantial coverage against other perils need not comply with such provisions,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Such policy or contract shall afford coverage, with respect to the peril of fire, not less than the coverage afforded by such Maine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That such coverage as to the peril of fire shall be made subject without change to the same general provisions and stipulations as those of such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provisions in relation to mortgagee interests and obligations in such standard fire policy shall be incorporated therein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policy or contract is complete as to all of its terms without reference to the standard form of fire insurance policy or any other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superintendent is satisfied that such policy or contract complies with the provisions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Combination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Combination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§3003. COMBINATION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