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3042</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w:pPr>
        <w:jc w:val="both"/>
        <w:spacing w:before="100" w:after="0"/>
        <w:ind w:start="720"/>
      </w:pPr>
      <w:r>
        <w:rPr/>
        <w:t>B</w:t>
        <w:t xml:space="preserve">.  </w:t>
      </w:r>
      <w:r>
        <w:rPr/>
      </w:r>
      <w:r>
        <w:t xml:space="preserve">"Loss information" means the following items:  the name of the insured, the date of the loss, the date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§3042. Loss information to be supplied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§3042. Loss information to be supplied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§3042. LOSS INFORMATION TO BE SUPPLIED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