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3622</w:t>
        <w:t xml:space="preserve">.  </w:t>
      </w:r>
      <w:r>
        <w:rPr>
          <w:b/>
        </w:rPr>
        <w:t xml:space="preserve">Nonassessable policies; assessable, nonassessable liability</w:t>
      </w:r>
    </w:p>
    <w:p>
      <w:pPr>
        <w:jc w:val="both"/>
        <w:spacing w:before="100" w:after="100"/>
        <w:ind w:start="360"/>
        <w:ind w:firstLine="360"/>
      </w:pPr>
      <w:r>
        <w:rPr>
          <w:b/>
        </w:rPr>
        <w:t>1</w:t>
        <w:t xml:space="preserve">.  </w:t>
      </w:r>
      <w:r>
        <w:rPr>
          <w:b/>
        </w:rPr>
      </w:r>
      <w:r>
        <w:t xml:space="preserve"> </w:t>
      </w:r>
      <w:r>
        <w:t xml:space="preserve">A mutual insurer heretofore formed and transacting insurance under this chapter may issue nonassessable advance cash premium policies in this State upon compliance with either of the following requirements:</w:t>
      </w:r>
    </w:p>
    <w:p>
      <w:pPr>
        <w:jc w:val="both"/>
        <w:spacing w:before="100" w:after="0"/>
        <w:ind w:start="720"/>
      </w:pPr>
      <w:r>
        <w:rPr/>
        <w:t>A</w:t>
        <w:t xml:space="preserve">.  </w:t>
      </w:r>
      <w:r>
        <w:rPr/>
      </w:r>
      <w:r>
        <w:t xml:space="preserve">Surplus. The insurer shall have and maintain a surplus to policyholders, as determined by its last annual statement filed with the superintendent, of not less than $100,000, or</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B</w:t>
        <w:t xml:space="preserve">.  </w:t>
      </w:r>
      <w:r>
        <w:rPr/>
      </w:r>
      <w:r>
        <w:t xml:space="preserve">Surplus and unearned premium reserve. The insurer shall have and maintain a surplus to policyholders, as determined by its latest annual statement filed with the superintendent, of not less than $75,000, provided its unearned premium reserve is at all times less than its surplus to policyholders.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If such an insurer, after qualifying to issue a nonassessable cash premium policy, fails to maintain one of the above requirements it shall cease to issue a nonassessable policy until it has again met and maintained the requirements for a period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§3622. Nonassessable policies; assessable, nonassessable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§3622. Nonassessable policies; assessable, nonassessable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§3622. NONASSESSABLE POLICIES; ASSESSABLE, NONASSESSABLE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