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Purpose</w:t>
      </w:r>
    </w:p>
    <w:p>
      <w:pPr>
        <w:jc w:val="both"/>
        <w:spacing w:before="100" w:after="100"/>
        <w:ind w:start="360"/>
        <w:ind w:firstLine="360"/>
      </w:pPr>
      <w:r>
        <w:rPr/>
      </w:r>
      <w:r>
        <w:rPr/>
      </w:r>
      <w:r>
        <w:t xml:space="preserve">The Maine Employers' Mutual Insurance Company is established for the purposes of providing workers' compensation insurance and employers' liability insurance incidental to and written in connection with workers' compensation coverage to employers of this State at the highest level of service and savings consistent with reasonable applicable actuarial standards and the sound financial integrity of the company.  It is also the purpose of the company to encourage employer involvement and to be responsive to employer experience and advice.</w:t>
      </w:r>
      <w:r>
        <w:t xml:space="preserve">  </w:t>
      </w:r>
      <w:r xmlns:wp="http://schemas.openxmlformats.org/drawingml/2010/wordprocessingDrawing" xmlns:w15="http://schemas.microsoft.com/office/word/2012/wordml">
        <w:rPr>
          <w:rFonts w:ascii="Arial" w:hAnsi="Arial" w:cs="Arial"/>
          <w:sz w:val="22"/>
          <w:szCs w:val="22"/>
        </w:rPr>
        <w:t xml:space="preserve">[PL 2001, c. 350,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§C1 (AMD). PL 1997, c. 661, §1 (AMD). PL 2001, c. 350,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