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Nonstate agency</w:t>
      </w:r>
    </w:p>
    <w:p>
      <w:pPr>
        <w:jc w:val="both"/>
        <w:spacing w:before="100" w:after="100"/>
        <w:ind w:start="360"/>
        <w:ind w:firstLine="360"/>
      </w:pPr>
      <w:r>
        <w:rPr/>
      </w:r>
      <w:r>
        <w:rPr/>
      </w:r>
      <w:r>
        <w:t xml:space="preserve">The company is not considered a state agency or instrumentality of the State for any purpose.  The company is not and may never be supported in any way by the State's General Fund or any guaranty by the State, any state agency or a division of the State.  The State may not borrow or otherwise appropriate funds from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Nonstate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Nonstate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§3705. NONSTATE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