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3861</w:t>
        <w:t xml:space="preserve">.  </w:t>
      </w:r>
      <w:r>
        <w:rPr>
          <w:b/>
        </w:rPr>
        <w:t xml:space="preserve">Deposit in lieu of bond</w:t>
      </w:r>
    </w:p>
    <w:p>
      <w:pPr>
        <w:jc w:val="both"/>
        <w:spacing w:before="100" w:after="100"/>
        <w:ind w:start="360"/>
        <w:ind w:firstLine="360"/>
      </w:pPr>
      <w:r>
        <w:rPr/>
      </w:r>
      <w:r>
        <w:rPr/>
      </w:r>
      <w:r>
        <w:t xml:space="preserve">In lieu of the bond required under </w:t>
      </w:r>
      <w:r>
        <w:t>section 3860</w:t>
      </w:r>
      <w:r>
        <w:t xml:space="preserve">, the attorney may maintain on deposit with the Treasurer of State through the office of the superintendent, a like amount in cash or in value of securities qualified under this Title as insurers' investments, and subject to the same conditions as the bond.</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§3861. Deposit in lieu of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§3861. Deposit in lieu of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§3861. DEPOSIT IN LIEU OF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