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Fraternal benefit societies defined</w:t>
      </w:r>
    </w:p>
    <w:p>
      <w:pPr>
        <w:jc w:val="both"/>
        <w:spacing w:before="100" w:after="0"/>
        <w:ind w:start="360"/>
        <w:ind w:firstLine="360"/>
      </w:pPr>
      <w:r>
        <w:rPr>
          <w:b/>
        </w:rPr>
        <w:t>1</w:t>
        <w:t xml:space="preserve">.  </w:t>
      </w:r>
      <w:r>
        <w:rPr>
          <w:b/>
        </w:rPr>
      </w:r>
      <w:r>
        <w:t xml:space="preserve"> </w:t>
      </w:r>
      <w:r>
        <w:t xml:space="preserve">Any incorporated society, order or supreme lodge, without capital stock, including one exempted under </w:t>
      </w:r>
      <w:r>
        <w:t>section 4142</w:t>
      </w:r>
      <w:r>
        <w:t xml:space="preserve">, whether incorporated or not, conducted solely for the benefit of its members and their beneficiaries and not for profit, operated on a lodge system with ritualistic form of work, having a representative form of government, and which makes provision for the payment of benefits in accordance with this chapter, is hereby declared to be a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used in this chapter the word "society," unless otherwise indicated, shall mean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Fraternal benefit societies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Fraternal benefit societies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§4101. FRATERNAL BENEFIT SOCIETIES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