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Examination of foreign and alien societies</w:t>
      </w:r>
    </w:p>
    <w:p>
      <w:pPr>
        <w:jc w:val="both"/>
        <w:spacing w:before="100" w:after="100"/>
        <w:ind w:start="360"/>
        <w:ind w:firstLine="360"/>
      </w:pPr>
      <w:r>
        <w:rPr/>
      </w:r>
      <w:r>
        <w:rPr/>
      </w:r>
      <w:r>
        <w:t xml:space="preserve">The superintendent, or any person whom the superintendent may appoint, may examine any foreign or alien society transacting or applying for admission to transact business in this State. The superintendent may employ assistants and the superintendent, or any person the superintendent may appoint, has free access to all books, papers and documents that relate to the business of the society. The superintendent may in the superintendent's discretion accept, in lieu of such examination, the examination of the insurance department of the state, territory, district, province or country where such society is organized. The compensation and actual expenses of the examiners making any examination or general or special valuation must be paid by the society examined or by the society whose certificate obligations have been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§4136. Examination of foreign and alien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Examination of foreign and alien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§4136. EXAMINATION OF FOREIGN AND ALIEN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