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No adverse publications</w:t>
      </w:r>
    </w:p>
    <w:p>
      <w:pPr>
        <w:jc w:val="both"/>
        <w:spacing w:before="100" w:after="100"/>
        <w:ind w:start="360"/>
        <w:ind w:firstLine="360"/>
      </w:pPr>
      <w:r>
        <w:rPr/>
      </w:r>
      <w:r>
        <w:rPr/>
      </w:r>
      <w:r>
        <w:t xml:space="preserve">Pending, during or after an examination or investigation of a society, either domestic, foreign or alien, the superintendent may not make public any financial statement, report or finding, nor may the superintendent permit to become public any financial statement, report or finding affecting the status, standing or rights of any society, until a copy thereof has been served upon the society at its principal office and the society has been afforded a reasonable opportunity to answer any such financial statement, report or finding and to make such showing in connection therewith as it may desire.</w:t>
      </w:r>
      <w:r>
        <w:t xml:space="preserve">  </w:t>
      </w:r>
      <w:r xmlns:wp="http://schemas.openxmlformats.org/drawingml/2010/wordprocessingDrawing" xmlns:w15="http://schemas.microsoft.com/office/word/2012/wordml">
        <w:rPr>
          <w:rFonts w:ascii="Arial" w:hAnsi="Arial" w:cs="Arial"/>
          <w:sz w:val="22"/>
          <w:szCs w:val="22"/>
        </w:rPr>
        <w:t xml:space="preserve">[RR 2021, c. 1, Pt. B, §339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§4137. No adverse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No adverse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§4137. NO ADVERSE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