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Penalties and enforcement</w:t>
      </w:r>
    </w:p>
    <w:p>
      <w:pPr>
        <w:jc w:val="both"/>
        <w:spacing w:before="100" w:after="0"/>
        <w:ind w:start="360"/>
        <w:ind w:firstLine="360"/>
      </w:pPr>
      <w:r>
        <w:rPr>
          <w:b/>
        </w:rPr>
        <w:t>1</w:t>
        <w:t xml:space="preserve">.  </w:t>
      </w:r>
      <w:r>
        <w:rPr>
          <w:b/>
        </w:rPr>
      </w:r>
      <w:r>
        <w:t xml:space="preserve"> </w:t>
      </w:r>
      <w:r>
        <w:t xml:space="preserve">The superintendent may levy an administrative penalty in an amount not less than $100 nor more than $500, if reasonable notice in writing is given of the intent to levy the penalty and the health maintenance organization has a reasonable time within which to remedy the defect in its operations that gave rise to the penalty citation. The superintendent may augment this penalty by an amount equal to the sum that the superintendent calculates to be the damages suffered by enrollees or other members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§349 (COR).]</w:t>
      </w:r>
    </w:p>
    <w:p>
      <w:pPr>
        <w:jc w:val="both"/>
        <w:spacing w:before="100" w:after="100"/>
        <w:ind w:start="360"/>
        <w:ind w:firstLine="360"/>
      </w:pPr>
      <w:r>
        <w:rPr>
          <w:b/>
        </w:rPr>
        <w:t>2</w:t>
        <w:t xml:space="preserve">.  </w:t>
      </w:r>
      <w:r>
        <w:rPr>
          <w:b/>
        </w:rPr>
      </w:r>
      <w:r>
        <w:t xml:space="preserve"> </w:t>
      </w:r>
      <w:r>
        <w:t xml:space="preserve">If the superintendent or the Commissioner of Health and Human Services shall for any reason have cause to believe that any violation of this chapter has occurred or is threatened, the superintendent or Commissioner of Health and Human Services may give notice to the health maintenance organization and to the representatives, or other persons who appear to be involved in such suspected violation, to arrange a conference with the alleged violators or their authorized representatives for the purpose of attempting to ascertain the facts relating to such suspected violation and, in the event it appears that any violation has occurred or is threatened, to arrive at an adequate and effective means of correcting or preventing such violation.</w:t>
      </w:r>
    </w:p>
    <w:p>
      <w:pPr>
        <w:jc w:val="both"/>
        <w:spacing w:before="100" w:after="0"/>
        <w:ind w:start="360"/>
      </w:pPr>
      <w:r>
        <w:rPr/>
      </w:r>
      <w:r>
        <w:rPr/>
      </w:r>
      <w:r>
        <w:t xml:space="preserve">Proceedings under this subsection shall not be governed by any formal procedural requirements and may be conducted in such manner as the superintendent or the Commissioner of Health and Human Services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3</w:t>
        <w:t xml:space="preserve">.  </w:t>
      </w:r>
      <w:r>
        <w:rPr>
          <w:b/>
        </w:rPr>
      </w:r>
      <w:r>
        <w:t xml:space="preserve"> </w:t>
      </w:r>
      <w:r>
        <w:t xml:space="preserve">The superintendent may issue an order directing a health maintenance organization or a representative of a health maintenance organization to cease and desist from engaging in any act or practice in violation of this chapter.</w:t>
      </w:r>
    </w:p>
    <w:p>
      <w:pPr>
        <w:jc w:val="both"/>
        <w:spacing w:before="100" w:after="0"/>
        <w:ind w:start="360"/>
      </w:pPr>
      <w:r>
        <w:rPr/>
      </w:r>
      <w:r>
        <w:rPr/>
      </w:r>
      <w:r>
        <w:t xml:space="preserve">Within 10 days after service of the order of cease and desist, the respondent may request a hearing on the question of whether acts or practices in violation of this chapter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the superintendent may apply for an order of the court to command performance consistent with contractual obligations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1977, c. 694, §437 (AMD). PL 2003, c. 689, §B7 (REV). RR 2021, c. 1, Pt. B, §§349, 350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§4221.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§4221.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