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423-F</w:t>
        <w:t xml:space="preserve">.  </w:t>
      </w:r>
      <w:r>
        <w:rPr>
          <w:b/>
        </w:rPr>
        <w:t xml:space="preserve">Own risk and solvency assessment</w:t>
      </w:r>
    </w:p>
    <w:p>
      <w:pPr>
        <w:jc w:val="both"/>
        <w:spacing w:before="100" w:after="0"/>
        <w:ind w:start="360"/>
        <w:ind w:firstLine="360"/>
      </w:pPr>
      <w:r>
        <w:rPr>
          <w:b/>
        </w:rPr>
        <w:t>1</w:t>
        <w:t xml:space="preserve">.  </w:t>
      </w:r>
      <w:r>
        <w:rPr>
          <w:b/>
        </w:rPr>
        <w:t xml:space="preserve">General requirement.</w:t>
        <w:t xml:space="preserve"> </w:t>
      </w:r>
      <w:r>
        <w:t xml:space="preserve"> </w:t>
      </w:r>
      <w:r>
        <w:t xml:space="preserve">A domestic insurer that is not subject to registration under </w:t>
      </w:r>
      <w:r>
        <w:t>section 222, subsection 8</w:t>
      </w:r>
      <w:r>
        <w:t xml:space="preserve"> shall comply with the requirements of </w:t>
      </w:r>
      <w:r>
        <w:t>section 222, subsection 8, paragraph B‑3</w:t>
      </w:r>
      <w:r>
        <w:t xml:space="preserve"> if the requirements of that paragraph would apply if the insurer were subject to registration.  The superintendent is considered the insurer's lead regulator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w:pPr>
        <w:jc w:val="both"/>
        <w:spacing w:before="100" w:after="0"/>
        <w:ind w:start="360"/>
        <w:ind w:firstLine="360"/>
      </w:pPr>
      <w:r>
        <w:rPr>
          <w:b/>
        </w:rPr>
        <w:t>2</w:t>
        <w:t xml:space="preserve">.  </w:t>
      </w:r>
      <w:r>
        <w:rPr>
          <w:b/>
        </w:rPr>
        <w:t xml:space="preserve">Confidentiality.</w:t>
        <w:t xml:space="preserve"> </w:t>
      </w:r>
      <w:r>
        <w:t xml:space="preserve"> </w:t>
      </w:r>
      <w:r>
        <w:t xml:space="preserve">All documents prepared or filed pursuant to this section are confidential to the same extent and subject to the same terms and procedures as if they were prepared or filed pursuant to </w:t>
      </w:r>
      <w:r>
        <w:t>section 222, subsection 8,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§423-F. Own risk and solvency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§423-F. OWN RISK AND SOLVENCY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