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enrollee, member or spouse of the enrollee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§7 (RPR).]</w:t>
      </w:r>
    </w:p>
    <w:p>
      <w:pPr>
        <w:jc w:val="both"/>
        <w:spacing w:before="100" w:after="0"/>
        <w:ind w:start="360"/>
        <w:ind w:firstLine="360"/>
      </w:pPr>
      <w:r>
        <w:rPr>
          <w:b/>
        </w:rPr>
        <w:t>2</w:t>
        <w:t xml:space="preserve">.  </w:t>
      </w:r>
      <w:r>
        <w:rPr>
          <w:b/>
        </w:rPr>
        <w:t xml:space="preserve">Coverage.</w:t>
        <w:t xml:space="preserve"> </w:t>
      </w:r>
      <w:r>
        <w:t xml:space="preserve"> </w:t>
      </w:r>
      <w:r>
        <w:t xml:space="preserve">All individual or group coverage subject to this chapter must provide unmarried enrollees with the same benefits or option of benefits for dependent children as is extended to dependent children of married enrollees,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enrollee or the spouse of the enrollee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enrollee or spouse of the enrollee under the same terms and conditions as apply to natural dependent children or stepchildren of the enrollee or spouse of the enrollee,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§8 (NEW).]</w:t>
      </w:r>
    </w:p>
    <w:p>
      <w:pPr>
        <w:jc w:val="both"/>
        <w:spacing w:before="100" w:after="100"/>
        <w:ind w:start="360"/>
        <w:ind w:firstLine="360"/>
      </w:pPr>
      <w:r>
        <w:rPr>
          <w:b/>
        </w:rPr>
        <w:t>5</w:t>
        <w:t xml:space="preserve">.  </w:t>
      </w:r>
      <w:r>
        <w:rPr>
          <w:b/>
        </w:rPr>
        <w:t xml:space="preserve">Medicaid.</w:t>
        <w:t xml:space="preserve"> </w:t>
      </w:r>
      <w:r>
        <w:t xml:space="preserve"> </w:t>
      </w:r>
      <w:r>
        <w:t xml:space="preserve">Health maintenance organizations may not consider the availability or eligibility for medical assistance under 42 United States Code, Section 13969, referred to as "Medicaid," when considering coverage eligibility or benefit calculations for enrollees and covered family members.</w:t>
      </w:r>
    </w:p>
    <w:p>
      <w:pPr>
        <w:jc w:val="both"/>
        <w:spacing w:before="100" w:after="0"/>
        <w:ind w:start="720"/>
      </w:pPr>
      <w:r>
        <w:rPr/>
        <w:t>A</w:t>
        <w:t xml:space="preserve">.  </w:t>
      </w:r>
      <w:r>
        <w:rPr/>
      </w:r>
      <w:r>
        <w:t xml:space="preserve">To the extent that payment for coverage expenses has been made under the Medicaid program for health care items or services furnished to an individual, the State is considered to have acquired the rights of the enrollee or family member to payment by the health maintenance organization for those health care items or services.  Upon presentation of proof that the Medicaid program has paid for covered items or services, the health maintenance organization shall make payment to the Medicaid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w:pPr>
        <w:jc w:val="both"/>
        <w:spacing w:before="100" w:after="0"/>
        <w:ind w:start="720"/>
      </w:pPr>
      <w:r>
        <w:rPr/>
        <w:t>B</w:t>
        <w:t xml:space="preserve">.  </w:t>
      </w:r>
      <w:r>
        <w:rPr/>
      </w:r>
      <w:r>
        <w:t xml:space="preserve">A health maintenance organization may not impose requirements on a state agency that has been assigned the rights of an individual eligible for Medicaid and covered by an enrollee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§B5 (NEW). PL 1993, c. 666, §§A7,8,B3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