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§10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§11 (NEW).]</w:t>
      </w:r>
    </w:p>
    <w:p>
      <w:pPr>
        <w:jc w:val="both"/>
        <w:spacing w:before="100" w:after="0"/>
        <w:ind w:start="360"/>
        <w:ind w:firstLine="360"/>
      </w:pPr>
      <w:r>
        <w:rPr>
          <w:b/>
        </w:rPr>
        <w:t>2</w:t>
        <w:t xml:space="preserve">.  </w:t>
      </w:r>
      <w:r>
        <w:rPr>
          <w:b/>
        </w:rPr>
        <w:t xml:space="preserve">Required coverage.</w:t>
        <w:t xml:space="preserve"> </w:t>
      </w:r>
      <w:r>
        <w:t xml:space="preserve"> </w:t>
      </w:r>
      <w:r>
        <w:t xml:space="preserve">All individual and group coverage subject to this chapter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All individual and group coverage subject to this chapter may not impose any cost-sharing requirements on a screening mammogram, diagnostic breast examination or supplemental breast examination performed by a provider in accordance with this section. This subsection does not apply to individual or group coverage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§12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§7 (NEW). PL 1997, c. 408, §8 (AFF). PL 2003, c. 517, §B25 (AMD). PL 2003, c. 689, §B6 (REV). PL 2007, c. 153, §3 (AMD). PL 2007, c. 153, §5 (AFF). PL 2023, c. 338, §§9-12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§4237-A.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