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4247</w:t>
        <w:t xml:space="preserve">.  </w:t>
      </w:r>
      <w:r>
        <w:rPr>
          <w:b/>
        </w:rPr>
        <w:t xml:space="preserve">Coverage for contraceptives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health maintenance organization individual and group health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health maintenance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health maintenance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B</w:t>
        <w:t xml:space="preserve">.  </w:t>
      </w:r>
      <w:r>
        <w:rPr/>
      </w:r>
      <w:r>
        <w:t xml:space="preserve">If the federal Food and Drug Administration has approved one or more therapeutic equivalents of a contraceptive supply, a health maintenance organization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§4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 (RAL). PL 2003, c. 517, §B27 (AMD). PL 2017, c. 190, §3 (AMD). PL 2021,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§4247. Coverage for contraceptives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§4247. Coverage for contraceptives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§4247. COVERAGE FOR CONTRACEPTIVES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