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4362</w:t>
        <w:t xml:space="preserve">.  </w:t>
      </w:r>
      <w:r>
        <w:rPr>
          <w:b/>
        </w:rPr>
        <w:t xml:space="preserve">Injunctions</w:t>
      </w:r>
    </w:p>
    <w:p>
      <w:pPr>
        <w:jc w:val="both"/>
        <w:spacing w:before="100" w:after="0"/>
        <w:ind w:start="360"/>
        <w:ind w:firstLine="360"/>
      </w:pPr>
      <w:r>
        <w:rPr>
          <w:b/>
        </w:rPr>
        <w:t>1</w:t>
        <w:t xml:space="preserve">.  </w:t>
      </w:r>
      <w:r>
        <w:rPr>
          <w:b/>
        </w:rPr>
      </w:r>
      <w:r>
        <w:t xml:space="preserve"> </w:t>
      </w:r>
      <w:r>
        <w:t xml:space="preserve">Upon application by the superintendent for such an order to show cause, or at any time thereafter, the court may without notice issue an injunction restraining the insurer, its officers, directors, stockholders, members, subscribers, agents and all other persons from the transaction of its business or the waste or disposition of its property until the further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The court may at any time during a proceeding under this chapter issue such other injunctions or orders as may be deemed necessary to prevent interference with the superintendent or the proceeding, or waste of the assets of the insurer, or the commencement or prosecution of any actions, or the obtaining of preferences, judgments, attachments or other liens, or the making of any levy against the insurer or against its assets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Notwithstanding any other provision of law, no bond shall be required of the superintendent as a prerequisite for the issuance of any injunction or restraining order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§4362.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§4362.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§4362.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