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Limitations on appointment of receiver; action by judgment creditor</w:t>
      </w:r>
    </w:p>
    <w:p>
      <w:pPr>
        <w:jc w:val="both"/>
        <w:spacing w:before="100" w:after="100"/>
        <w:ind w:start="360"/>
        <w:ind w:firstLine="360"/>
      </w:pPr>
      <w:r>
        <w:rPr/>
      </w:r>
      <w:r>
        <w:rPr/>
      </w:r>
      <w:r>
        <w:t xml:space="preserve">No order, judgment or decree enjoining, restraining or interfering with the prosecution of the business of any insurer or for the appointment of a temporary or permanent receiver of a domestic insurer shall be made or granted otherwise than upon the petition of the superintendent represented by the Attorney General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§4370. Limitations on appointment of receiver; action by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Limitations on appointment of receiver; action by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§4370. LIMITATIONS ON APPOINTMENT OF RECEIVER; ACTION BY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