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Superintendent, bureau defined</w:t>
      </w:r>
    </w:p>
    <w:p>
      <w:pPr>
        <w:jc w:val="both"/>
        <w:spacing w:before="100" w:after="0"/>
        <w:ind w:start="360"/>
        <w:ind w:firstLine="360"/>
      </w:pPr>
      <w:r>
        <w:rPr>
          <w:b/>
        </w:rPr>
        <w:t>1</w:t>
        <w:t xml:space="preserve">.  </w:t>
      </w:r>
      <w:r>
        <w:rPr>
          <w:b/>
        </w:rPr>
        <w:t xml:space="preserve">Superintendent.</w:t>
        <w:t xml:space="preserve"> </w:t>
      </w:r>
      <w:r>
        <w:t xml:space="preserve"> </w:t>
      </w:r>
      <w:r>
        <w:t xml:space="preserve">"Superintendent" means the Superintendent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Superintendent, bureau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Superintendent, bureau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 SUPERINTENDENT, BUREAU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