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Record, remittance of fees</w:t>
      </w:r>
    </w:p>
    <w:p>
      <w:pPr>
        <w:jc w:val="both"/>
        <w:spacing w:before="100" w:after="100"/>
        <w:ind w:start="360"/>
        <w:ind w:firstLine="360"/>
      </w:pPr>
      <w:r>
        <w:rPr/>
      </w:r>
      <w:r>
        <w:rPr/>
      </w:r>
      <w:r>
        <w:t xml:space="preserve">The superintendent shall keep a correct account of all fees and moneys received by the superintendent by virtue of the superintendent's office, and shall pay the same over to the Treasurer of State forthwith.</w:t>
      </w:r>
      <w:r>
        <w:t xml:space="preserve">  </w:t>
      </w:r>
      <w:r xmlns:wp="http://schemas.openxmlformats.org/drawingml/2010/wordprocessingDrawing" xmlns:w15="http://schemas.microsoft.com/office/word/2012/wordml">
        <w:rPr>
          <w:rFonts w:ascii="Arial" w:hAnsi="Arial" w:cs="Arial"/>
          <w:sz w:val="22"/>
          <w:szCs w:val="22"/>
        </w:rPr>
        <w:t xml:space="preserve">[RR 2021, c. 1, Pt. B, §186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Record, remittance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Record, remittance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§603. RECORD, REMITTANCE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