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Penalties</w:t>
      </w:r>
    </w:p>
    <w:p>
      <w:pPr>
        <w:jc w:val="both"/>
        <w:spacing w:before="100" w:after="100"/>
        <w:ind w:start="360"/>
        <w:ind w:firstLine="360"/>
      </w:pPr>
      <w:r>
        <w:rPr/>
      </w:r>
      <w:r>
        <w:rPr/>
      </w:r>
      <w:r>
        <w:t xml:space="preserve">A risk retention group which violates any provision of this Act will be subject to fines and penalties applicable to licensed insurers generally, including revocation of its license or the right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