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6309</w:t>
        <w:t xml:space="preserve">.  </w:t>
      </w:r>
      <w:r>
        <w:rPr>
          <w:b/>
        </w:rPr>
        <w:t xml:space="preserve">Intercorporate transfers</w:t>
      </w:r>
    </w:p>
    <w:p>
      <w:pPr>
        <w:jc w:val="both"/>
        <w:spacing w:before="100" w:after="100"/>
        <w:ind w:start="360"/>
        <w:ind w:firstLine="360"/>
      </w:pPr>
      <w:r>
        <w:rPr/>
      </w:r>
      <w:r>
        <w:rPr/>
      </w:r>
      <w:r>
        <w:t xml:space="preserve">The superintendent may order intercorporate transfers of funds to balance assessments and program payments on an equitable basis among insurers and to provide for payments to eligible self-insureds.</w:t>
      </w:r>
      <w:r>
        <w:t xml:space="preserve">  </w:t>
      </w:r>
      <w:r xmlns:wp="http://schemas.openxmlformats.org/drawingml/2010/wordprocessingDrawing" xmlns:w15="http://schemas.microsoft.com/office/word/2012/wordml">
        <w:rPr>
          <w:rFonts w:ascii="Arial" w:hAnsi="Arial" w:cs="Arial"/>
          <w:sz w:val="22"/>
          <w:szCs w:val="22"/>
        </w:rPr>
        <w:t xml:space="preserve">[PL 1991, c. 734,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§6309. Intercorporate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§6309. Intercorporate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§6309. INTERCORPORATE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