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w:t>
        <w:t xml:space="preserve">.  </w:t>
      </w:r>
      <w:r>
        <w:rPr>
          <w:b/>
        </w:rPr>
        <w:t xml:space="preserve">Authorized control level event</w:t>
      </w:r>
    </w:p>
    <w:p>
      <w:pPr>
        <w:jc w:val="both"/>
        <w:spacing w:before="100" w:after="100"/>
        <w:ind w:start="360"/>
        <w:ind w:firstLine="360"/>
      </w:pPr>
      <w:r>
        <w:rPr>
          <w:b/>
        </w:rPr>
        <w:t>1</w:t>
        <w:t xml:space="preserve">.  </w:t>
      </w:r>
      <w:r>
        <w:rPr>
          <w:b/>
        </w:rPr>
        <w:t xml:space="preserve">Authorized control level event; defined.</w:t>
        <w:t xml:space="preserve"> </w:t>
      </w:r>
      <w:r>
        <w:t xml:space="preserve"> </w:t>
      </w:r>
      <w:r>
        <w:t xml:space="preserve">"Authorized control level event" means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mandatory control level risk-based capital but less than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Provided the insurer has not challenged the corrective order under </w:t>
      </w:r>
      <w:r>
        <w:t>section 6457</w:t>
      </w:r>
      <w:r>
        <w:t xml:space="preserve">, the failure of the insurer to respond, in a manner satisfactory to the superintendent, to a corrective order;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If the insurer has challenged a corrective order under </w:t>
      </w:r>
      <w:r>
        <w:t>section 6457</w:t>
      </w:r>
      <w:r>
        <w:t xml:space="preserve"> and the superintendent has, after a hearing, rejected the challenge or modified the corrective order, the failure of the insurer to respond, in a manner satisfactory to the superintendent, to the corrective order subsequent to rejection or modification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authorized control level event.</w:t>
        <w:t xml:space="preserve"> </w:t>
      </w:r>
      <w:r>
        <w:t xml:space="preserve"> </w:t>
      </w:r>
      <w:r>
        <w:t xml:space="preserve">When an authorized control level event occurs, the superintendent shall:</w:t>
      </w:r>
    </w:p>
    <w:p>
      <w:pPr>
        <w:jc w:val="both"/>
        <w:spacing w:before="100" w:after="0"/>
        <w:ind w:start="720"/>
      </w:pPr>
      <w:r>
        <w:rPr/>
        <w:t>A</w:t>
        <w:t xml:space="preserve">.  </w:t>
      </w:r>
      <w:r>
        <w:rPr/>
      </w:r>
      <w:r>
        <w:t xml:space="preserve">Take those actions that are required under </w:t>
      </w:r>
      <w:r>
        <w:t>section 6454</w:t>
      </w:r>
      <w:r>
        <w:t xml:space="preserve"> regarding an insurer with respect to which a regulatory action level event has occurred;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superintendent considers it to be in the best interests of the policyholders and creditors of the insurer and of the public, take those actions that are necessary to cause the insurer to be placed under regulatory control under </w:t>
      </w:r>
      <w:r>
        <w:t>chapter 57</w:t>
      </w:r>
      <w:r>
        <w:t xml:space="preserve">.  If the commissioner takes those actions, the authorized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under this paragraph pursuant to an adjusted risk-based capital report, the insurer is entitled to those protections that are afforded to insurers under the provisions of </w:t>
      </w:r>
      <w:r>
        <w:t>chapter 57, subchapter II</w:t>
      </w:r>
      <w:r>
        <w:t xml:space="preserve"> pertaining to summary proceedings.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§6455. Authorized control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 Authorized control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§6455. AUTHORIZED CONTROL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