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6612</w:t>
        <w:t xml:space="preserve">.  </w:t>
      </w:r>
      <w:r>
        <w:rPr>
          <w:b/>
        </w:rPr>
        <w:t xml:space="preserve">Place of business; records maintenance</w:t>
      </w:r>
    </w:p>
    <w:p>
      <w:pPr>
        <w:jc w:val="both"/>
        <w:spacing w:before="100" w:after="100"/>
        <w:ind w:start="360"/>
        <w:ind w:firstLine="360"/>
      </w:pPr>
      <w:r>
        <w:rPr/>
      </w:r>
      <w:r>
        <w:rPr/>
      </w:r>
      <w:r>
        <w:t xml:space="preserve">Each arrangement must have and maintain its principal place of business in the State and must make available to the superintendent complete records of its assets, transactions and affairs in accordance with such methods and systems as are customary for or suitable to the kind or kinds of business transacted.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§6612. Place of business; records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§6612. Place of business; records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§6612. PLACE OF BUSINESS; RECORDS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