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Names of companies</w:t>
      </w:r>
    </w:p>
    <w:p>
      <w:pPr>
        <w:jc w:val="both"/>
        <w:spacing w:before="100" w:after="100"/>
        <w:ind w:start="360"/>
        <w:ind w:firstLine="360"/>
      </w:pPr>
      <w:r>
        <w:rPr/>
      </w:r>
      <w:r>
        <w:rPr/>
      </w:r>
      <w:r>
        <w:t xml:space="preserve">A captive insurance company may not adopt a name that is the same as, deceptively similar to or likely to be confused with or mistaken for any other existing business name registered in the State.</w:t>
      </w:r>
      <w:r>
        <w:t xml:space="preserve">  </w:t>
      </w:r>
      <w:r xmlns:wp="http://schemas.openxmlformats.org/drawingml/2010/wordprocessingDrawing" xmlns:w15="http://schemas.microsoft.com/office/word/2012/wordml">
        <w:rPr>
          <w:rFonts w:ascii="Arial" w:hAnsi="Arial" w:cs="Arial"/>
          <w:sz w:val="22"/>
          <w:szCs w:val="22"/>
        </w:rPr>
        <w:t xml:space="preserve">[PL 1997,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§6703. Names of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Names of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§6703. NAMES OF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