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6718</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superintendent may adopt rules to implement this chapter.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w:pPr>
        <w:jc w:val="both"/>
        <w:spacing w:before="100" w:after="0"/>
        <w:ind w:start="360"/>
        <w:ind w:firstLine="360"/>
      </w:pPr>
      <w:r>
        <w:rPr>
          <w:b/>
        </w:rPr>
        <w:t>2</w:t>
        <w:t xml:space="preserve">.  </w:t>
      </w:r>
      <w:r>
        <w:rPr>
          <w:b/>
        </w:rPr>
        <w:t xml:space="preserve">Risk retention groups.</w:t>
        <w:t xml:space="preserve"> </w:t>
      </w:r>
      <w:r>
        <w:t xml:space="preserve"> </w:t>
      </w:r>
      <w:r>
        <w:t xml:space="preserve">Notwithstanding </w:t>
      </w:r>
      <w:r>
        <w:t>section 6719</w:t>
      </w:r>
      <w:r>
        <w:t xml:space="preserve">, the superintendent shall adopt rules establishing financial standards and corporate governance standards for captive insurance companies that are risk retention groups as defined in </w:t>
      </w:r>
      <w:r>
        <w:t>section 6093, subsection 13</w:t>
      </w:r>
      <w:r>
        <w:t xml:space="preserve">.  Such rules may include, but are not limited to, rules making specified provisions of this Title applicable to captive insurance companies that are risk retention groups, subject to any modifications that the superintendent determines to be appropriate to the nature of a risk retention group's business.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§7 (AMD). PL 2013, c. 238, Pt. E,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