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Executive director</w:t>
      </w:r>
    </w:p>
    <w:p>
      <w:pPr>
        <w:jc w:val="both"/>
        <w:spacing w:before="100" w:after="0"/>
        <w:ind w:start="360"/>
        <w:ind w:firstLine="360"/>
      </w:pPr>
      <w:r>
        <w:rPr>
          <w:b/>
        </w:rPr>
        <w:t>1</w:t>
        <w:t xml:space="preserve">.  </w:t>
      </w:r>
      <w:r>
        <w:rPr>
          <w:b/>
        </w:rPr>
        <w:t xml:space="preserve">Appointed position.</w:t>
        <w:t xml:space="preserve"> </w:t>
      </w:r>
      <w:r>
        <w:t xml:space="preserve"> </w:t>
      </w:r>
      <w:r>
        <w:t xml:space="preserve">The executive director is appointed by the board and serves at the pleasure of the board.  The position of executive director is a major policy-influencing position as designated in </w:t>
      </w:r>
      <w:r>
        <w:t>Title 5, section 934‑B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Duties of executive director.</w:t>
        <w:t xml:space="preserve"> </w:t>
      </w:r>
      <w:r>
        <w:t xml:space="preserve"> </w:t>
      </w:r>
      <w:r>
        <w:t xml:space="preserve">The executive director shall:</w:t>
      </w:r>
    </w:p>
    <w:p>
      <w:pPr>
        <w:jc w:val="both"/>
        <w:spacing w:before="100" w:after="0"/>
        <w:ind w:start="720"/>
      </w:pPr>
      <w:r>
        <w:rPr/>
        <w:t>A</w:t>
        <w:t xml:space="preserve">.  </w:t>
      </w:r>
      <w:r>
        <w:rPr/>
      </w:r>
      <w:r>
        <w:t xml:space="preserve">Serve as the liaison between the board and Dirigo Health and serve as secretary and treasurer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§8 (AMD).]</w:t>
      </w:r>
    </w:p>
    <w:p>
      <w:pPr>
        <w:jc w:val="both"/>
        <w:spacing w:before="100" w:after="0"/>
        <w:ind w:start="720"/>
      </w:pPr>
      <w:r>
        <w:rPr/>
        <w:t>B</w:t>
        <w:t xml:space="preserve">.  </w:t>
      </w:r>
      <w:r>
        <w:rPr/>
      </w:r>
      <w:r>
        <w:t xml:space="preserve">Manage Dirigo Health's programs and services, including the Maine Quality Forum established under </w:t>
      </w:r>
      <w:r>
        <w:t>section 6951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Employ or contract on behalf of Dirigo Health for professional and nonprofessional personnel or service. Employees of Dirigo Health are subject to the Civil Service Law, except that the position of Director of the Maine Quality Forum is not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Approve all accounts for salaries, per diems, allowable expenses of Dirigo Health or of any employee or consultant and expenses incidental to the operation of Dirigo Health;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Perform other duties prescribed by the board to carry out the functions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§6909.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§6909.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